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6 (ICT Services)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414.0" w:type="dxa"/>
        <w:jc w:val="left"/>
        <w:tblInd w:w="828.0" w:type="dxa"/>
        <w:tblLayout w:type="fixed"/>
        <w:tblLook w:val="0000"/>
      </w:tblPr>
      <w:tblGrid>
        <w:gridCol w:w="108"/>
        <w:gridCol w:w="2682"/>
        <w:gridCol w:w="59"/>
        <w:gridCol w:w="5460"/>
        <w:gridCol w:w="105"/>
        <w:tblGridChange w:id="0">
          <w:tblGrid>
            <w:gridCol w:w="108"/>
            <w:gridCol w:w="2682"/>
            <w:gridCol w:w="59"/>
            <w:gridCol w:w="5460"/>
            <w:gridCol w:w="105"/>
          </w:tblGrid>
        </w:tblGridChange>
      </w:tblGrid>
      <w:tr>
        <w:trPr>
          <w:cantSplit w:val="0"/>
          <w:tblHeader w:val="0"/>
        </w:trPr>
        <w:tc>
          <w:tcPr>
            <w:gridSpan w:val="2"/>
            <w:vAlign w:val="top"/>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r w:rsidDel="00000000" w:rsidR="00000000" w:rsidRPr="00000000">
              <w:rPr>
                <w:rtl w:val="0"/>
              </w:rPr>
            </w:r>
          </w:p>
        </w:tc>
        <w:tc>
          <w:tcPr>
            <w:gridSpan w:val="3"/>
            <w:vAlign w:val="top"/>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p>
        </w:tc>
      </w:tr>
      <w:tr>
        <w:trPr>
          <w:cantSplit w:val="0"/>
          <w:tblHeader w:val="0"/>
        </w:trPr>
        <w:tc>
          <w:tcPr>
            <w:gridSpan w:val="2"/>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r w:rsidDel="00000000" w:rsidR="00000000" w:rsidRPr="00000000">
              <w:rPr>
                <w:rtl w:val="0"/>
              </w:rPr>
            </w:r>
          </w:p>
        </w:tc>
        <w:tc>
          <w:tcPr>
            <w:gridSpan w:val="3"/>
            <w:vAlign w:val="top"/>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p>
        </w:tc>
      </w:tr>
      <w:tr>
        <w:trPr>
          <w:cantSplit w:val="0"/>
          <w:tblHeader w:val="0"/>
        </w:trPr>
        <w:tc>
          <w:tcPr>
            <w:gridSpan w:val="2"/>
            <w:vAlign w:val="top"/>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r w:rsidDel="00000000" w:rsidR="00000000" w:rsidRPr="00000000">
              <w:rPr>
                <w:rtl w:val="0"/>
              </w:rPr>
            </w:r>
          </w:p>
        </w:tc>
        <w:tc>
          <w:tcPr>
            <w:gridSpan w:val="3"/>
            <w:vAlign w:val="top"/>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trPr>
          <w:cantSplit w:val="0"/>
          <w:tblHeader w:val="0"/>
        </w:trPr>
        <w:tc>
          <w:tcPr>
            <w:gridSpan w:val="3"/>
            <w:vAlign w:val="top"/>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r w:rsidDel="00000000" w:rsidR="00000000" w:rsidRPr="00000000">
              <w:rPr>
                <w:rtl w:val="0"/>
              </w:rPr>
            </w:r>
          </w:p>
        </w:tc>
        <w:tc>
          <w:tcPr>
            <w:gridSpan w:val="2"/>
            <w:vAlign w:val="top"/>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gridSpan w:val="2"/>
            <w:vAlign w:val="top"/>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gridSpan w:val="2"/>
            <w:vAlign w:val="top"/>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r w:rsidDel="00000000" w:rsidR="00000000" w:rsidRPr="00000000">
              <w:rPr>
                <w:rtl w:val="0"/>
              </w:rPr>
            </w:r>
          </w:p>
        </w:tc>
        <w:tc>
          <w:tcPr>
            <w:gridSpan w:val="3"/>
            <w:vAlign w:val="top"/>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2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gridSpan w:val="2"/>
            <w:vAlign w:val="top"/>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gridSpan w:val="3"/>
            <w:vAlign w:val="top"/>
          </w:tcPr>
          <w:p w:rsidR="00000000" w:rsidDel="00000000" w:rsidP="00000000" w:rsidRDefault="00000000" w:rsidRPr="00000000" w14:paraId="0000002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Order Contract; or</w:t>
            </w:r>
          </w:p>
          <w:p w:rsidR="00000000" w:rsidDel="00000000" w:rsidP="00000000" w:rsidRDefault="00000000" w:rsidRPr="00000000" w14:paraId="000000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gridSpan w:val="2"/>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r w:rsidDel="00000000" w:rsidR="00000000" w:rsidRPr="00000000">
              <w:rPr>
                <w:rtl w:val="0"/>
              </w:rPr>
            </w:r>
          </w:p>
        </w:tc>
        <w:tc>
          <w:tcPr>
            <w:gridSpan w:val="3"/>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gridSpan w:val="2"/>
            <w:vAlign w:val="top"/>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r w:rsidDel="00000000" w:rsidR="00000000" w:rsidRPr="00000000">
              <w:rPr>
                <w:rtl w:val="0"/>
              </w:rPr>
            </w:r>
          </w:p>
        </w:tc>
        <w:tc>
          <w:tcPr>
            <w:gridSpan w:val="3"/>
            <w:vAlign w:val="top"/>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gridSpan w:val="2"/>
            <w:vAlign w:val="top"/>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r w:rsidDel="00000000" w:rsidR="00000000" w:rsidRPr="00000000">
              <w:rPr>
                <w:rtl w:val="0"/>
              </w:rPr>
            </w:r>
          </w:p>
        </w:tc>
        <w:tc>
          <w:tcPr>
            <w:gridSpan w:val="3"/>
            <w:vAlign w:val="top"/>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Order Contract, including any COTS Software;</w:t>
            </w:r>
          </w:p>
        </w:tc>
      </w:tr>
      <w:tr>
        <w:trPr>
          <w:cantSplit w:val="0"/>
          <w:tblHeader w:val="0"/>
        </w:trPr>
        <w:tc>
          <w:tcPr>
            <w:gridSpan w:val="2"/>
            <w:vAlign w:val="top"/>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tl w:val="0"/>
              </w:rPr>
            </w:r>
          </w:p>
        </w:tc>
        <w:tc>
          <w:tcPr>
            <w:gridSpan w:val="3"/>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gridSpan w:val="2"/>
            <w:vAlign w:val="top"/>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r w:rsidDel="00000000" w:rsidR="00000000" w:rsidRPr="00000000">
              <w:rPr>
                <w:rtl w:val="0"/>
              </w:rPr>
            </w:r>
          </w:p>
        </w:tc>
        <w:tc>
          <w:tcPr>
            <w:gridSpan w:val="3"/>
            <w:vAlign w:val="top"/>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gridSpan w:val="2"/>
            <w:vAlign w:val="top"/>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r w:rsidDel="00000000" w:rsidR="00000000" w:rsidRPr="00000000">
              <w:rPr>
                <w:rtl w:val="0"/>
              </w:rPr>
            </w:r>
          </w:p>
        </w:tc>
        <w:tc>
          <w:tcPr>
            <w:gridSpan w:val="3"/>
            <w:vAlign w:val="top"/>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gridSpan w:val="2"/>
            <w:vAlign w:val="top"/>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r w:rsidDel="00000000" w:rsidR="00000000" w:rsidRPr="00000000">
              <w:rPr>
                <w:rtl w:val="0"/>
              </w:rPr>
            </w:r>
          </w:p>
        </w:tc>
        <w:tc>
          <w:tcPr>
            <w:gridSpan w:val="3"/>
            <w:vAlign w:val="top"/>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gridSpan w:val="2"/>
            <w:vAlign w:val="top"/>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r w:rsidDel="00000000" w:rsidR="00000000" w:rsidRPr="00000000">
              <w:rPr>
                <w:rtl w:val="0"/>
              </w:rPr>
            </w:r>
          </w:p>
        </w:tc>
        <w:tc>
          <w:tcPr>
            <w:gridSpan w:val="3"/>
            <w:vAlign w:val="top"/>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5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gridSpan w:val="2"/>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tl w:val="0"/>
              </w:rPr>
            </w:r>
          </w:p>
        </w:tc>
        <w:tc>
          <w:tcPr>
            <w:gridSpan w:val="3"/>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gridSpan w:val="2"/>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tl w:val="0"/>
              </w:rPr>
            </w:r>
          </w:p>
        </w:tc>
        <w:tc>
          <w:tcPr>
            <w:gridSpan w:val="3"/>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gridSpan w:val="2"/>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r w:rsidDel="00000000" w:rsidR="00000000" w:rsidRPr="00000000">
              <w:rPr>
                <w:rtl w:val="0"/>
              </w:rPr>
            </w:r>
          </w:p>
        </w:tc>
        <w:tc>
          <w:tcPr>
            <w:gridSpan w:val="3"/>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 (Definitions), and for the purposes of this Order Schedule shall also include any premises from, to or at which physical interface with the Buyer System takes place;</w:t>
            </w:r>
          </w:p>
        </w:tc>
      </w:tr>
      <w:tr>
        <w:trPr>
          <w:cantSplit w:val="0"/>
          <w:tblHeader w:val="0"/>
        </w:trPr>
        <w:tc>
          <w:tcPr>
            <w:gridSpan w:val="2"/>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r w:rsidDel="00000000" w:rsidR="00000000" w:rsidRPr="00000000">
              <w:rPr>
                <w:rtl w:val="0"/>
              </w:rPr>
            </w:r>
          </w:p>
        </w:tc>
        <w:tc>
          <w:tcPr>
            <w:gridSpan w:val="3"/>
            <w:vAlign w:val="top"/>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gridSpan w:val="2"/>
            <w:vAlign w:val="top"/>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tl w:val="0"/>
              </w:rPr>
            </w:r>
          </w:p>
        </w:tc>
        <w:tc>
          <w:tcPr>
            <w:gridSpan w:val="3"/>
            <w:vAlign w:val="top"/>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gridSpan w:val="2"/>
            <w:vAlign w:val="top"/>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r w:rsidDel="00000000" w:rsidR="00000000" w:rsidRPr="00000000">
              <w:rPr>
                <w:rtl w:val="0"/>
              </w:rPr>
            </w:r>
          </w:p>
        </w:tc>
        <w:tc>
          <w:tcPr>
            <w:gridSpan w:val="3"/>
            <w:vAlign w:val="top"/>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gridSpan w:val="2"/>
            <w:vAlign w:val="top"/>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r w:rsidDel="00000000" w:rsidR="00000000" w:rsidRPr="00000000">
              <w:rPr>
                <w:rtl w:val="0"/>
              </w:rPr>
            </w:r>
          </w:p>
        </w:tc>
        <w:tc>
          <w:tcPr>
            <w:gridSpan w:val="3"/>
            <w:vAlign w:val="top"/>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gridSpan w:val="2"/>
            <w:vAlign w:val="top"/>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r w:rsidDel="00000000" w:rsidR="00000000" w:rsidRPr="00000000">
              <w:rPr>
                <w:rtl w:val="0"/>
              </w:rPr>
            </w:r>
          </w:p>
        </w:tc>
        <w:tc>
          <w:tcPr>
            <w:gridSpan w:val="3"/>
            <w:vAlign w:val="top"/>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bl>
    <w:p w:rsidR="00000000" w:rsidDel="00000000" w:rsidP="00000000" w:rsidRDefault="00000000" w:rsidRPr="00000000" w14:paraId="0000007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7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8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 w:val="left" w:pos="3119"/>
          <w:tab w:val="left" w:pos="3686"/>
          <w:tab w:val="left" w:pos="142"/>
        </w:tabs>
        <w:spacing w:after="24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8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8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8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8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r w:rsidDel="00000000" w:rsidR="00000000" w:rsidRPr="00000000">
        <w:rPr>
          <w:rtl w:val="0"/>
        </w:rPr>
      </w:r>
    </w:p>
    <w:p w:rsidR="00000000" w:rsidDel="00000000" w:rsidP="00000000" w:rsidRDefault="00000000" w:rsidRPr="00000000" w14:paraId="0000008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8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Order Schedule 14 (Service Levels) and Documentation; and</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9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9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9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9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9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9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9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r w:rsidDel="00000000" w:rsidR="00000000" w:rsidRPr="00000000">
        <w:rPr>
          <w:rtl w:val="0"/>
        </w:rPr>
      </w:r>
    </w:p>
    <w:p w:rsidR="00000000" w:rsidDel="00000000" w:rsidP="00000000" w:rsidRDefault="00000000" w:rsidRPr="00000000" w14:paraId="0000009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9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9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Order Contract Period:</w:t>
      </w:r>
    </w:p>
    <w:p w:rsidR="00000000" w:rsidDel="00000000" w:rsidP="00000000" w:rsidRDefault="00000000" w:rsidRPr="00000000" w14:paraId="0000009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9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A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A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A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A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A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A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A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A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A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A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B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B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B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B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B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B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B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B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B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B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B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C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C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C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C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C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C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C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C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C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1418"/>
          <w:tab w:val="left" w:pos="2127"/>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r w:rsidDel="00000000" w:rsidR="00000000" w:rsidRPr="00000000">
        <w:rPr>
          <w:rtl w:val="0"/>
        </w:rPr>
      </w:r>
    </w:p>
    <w:p w:rsidR="00000000" w:rsidDel="00000000" w:rsidP="00000000" w:rsidRDefault="00000000" w:rsidRPr="00000000" w14:paraId="000000C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C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D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D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D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D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D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D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D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D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D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D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D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D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D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E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E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Government Data (whilst the Government Data was under the control of the Buyer).</w:t>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spacing w:after="200" w:line="276" w:lineRule="auto"/>
        <w:jc w:val="left"/>
        <w:rPr>
          <w:rFonts w:ascii="Arial" w:cs="Arial" w:eastAsia="Arial" w:hAnsi="Arial"/>
          <w:b w:val="0"/>
          <w:sz w:val="36"/>
          <w:szCs w:val="36"/>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E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[Supplier-Furnished Terms</w:t>
      </w:r>
      <w:r w:rsidDel="00000000" w:rsidR="00000000" w:rsidRPr="00000000">
        <w:rPr>
          <w:rtl w:val="0"/>
        </w:rPr>
      </w:r>
    </w:p>
    <w:p w:rsidR="00000000" w:rsidDel="00000000" w:rsidP="00000000" w:rsidRDefault="00000000" w:rsidRPr="00000000" w14:paraId="000000E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ab/>
        <w:t xml:space="preserve">Software Licence Terms</w:t>
      </w:r>
      <w:r w:rsidDel="00000000" w:rsidR="00000000" w:rsidRPr="00000000">
        <w:rPr>
          <w:rtl w:val="0"/>
        </w:rPr>
      </w:r>
    </w:p>
    <w:p w:rsidR="00000000" w:rsidDel="00000000" w:rsidP="00000000" w:rsidRDefault="00000000" w:rsidRPr="00000000" w14:paraId="000000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non-COTS third party software in accordance with Paragraph 9.2.3 are detailed in [insert reference to relevant Schedule].</w:t>
      </w:r>
    </w:p>
    <w:p w:rsidR="00000000" w:rsidDel="00000000" w:rsidP="00000000" w:rsidRDefault="00000000" w:rsidRPr="00000000" w14:paraId="000000E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Terms for licensing of COTS software in accordance with Paragraph 9.3 are detailed in [insert reference to relevant Schedule].</w:t>
      </w:r>
    </w:p>
    <w:p w:rsidR="00000000" w:rsidDel="00000000" w:rsidP="00000000" w:rsidRDefault="00000000" w:rsidRPr="00000000" w14:paraId="000000E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as a Service Terms</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a Software as a Service solution are detailed in [insert reference to relevant Schedule].</w:t>
      </w:r>
    </w:p>
    <w:p w:rsidR="00000000" w:rsidDel="00000000" w:rsidP="00000000" w:rsidRDefault="00000000" w:rsidRPr="00000000" w14:paraId="000000E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Software Support &amp; Maintenance Terms</w:t>
      </w:r>
    </w:p>
    <w:p w:rsidR="00000000" w:rsidDel="00000000" w:rsidP="00000000" w:rsidRDefault="00000000" w:rsidRPr="00000000" w14:paraId="000000E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40" w:before="0" w:line="240" w:lineRule="auto"/>
        <w:ind w:left="36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RM6313</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6 (ICT Services)</w:t>
    </w:r>
    <w:r w:rsidDel="00000000" w:rsidR="00000000" w:rsidRPr="00000000">
      <w:rPr>
        <w:rtl w:val="0"/>
      </w:rPr>
    </w:r>
  </w:p>
  <w:p w:rsidR="00000000" w:rsidDel="00000000" w:rsidP="00000000" w:rsidRDefault="00000000" w:rsidRPr="00000000" w14:paraId="000000EF">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F0">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2019</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vertAlign w:val="baseline"/>
      </w:rPr>
    </w:lvl>
    <w:lvl w:ilvl="1">
      <w:start w:val="1"/>
      <w:numFmt w:val="decimal"/>
      <w:lvlText w:val="%1.%2."/>
      <w:lvlJc w:val="left"/>
      <w:pPr>
        <w:ind w:left="936" w:hanging="576"/>
      </w:pPr>
      <w:rPr>
        <w:b w:val="0"/>
        <w:vertAlign w:val="baseline"/>
      </w:rPr>
    </w:lvl>
    <w:lvl w:ilvl="2">
      <w:start w:val="1"/>
      <w:numFmt w:val="decimal"/>
      <w:lvlText w:val="%1.%2.%3."/>
      <w:lvlJc w:val="left"/>
      <w:pPr>
        <w:ind w:left="1656" w:hanging="720"/>
      </w:pPr>
      <w:rPr>
        <w:vertAlign w:val="baseline"/>
      </w:rPr>
    </w:lvl>
    <w:lvl w:ilvl="3">
      <w:start w:val="1"/>
      <w:numFmt w:val="decimal"/>
      <w:lvlText w:val="%1.%2.%3.%4."/>
      <w:lvlJc w:val="left"/>
      <w:pPr>
        <w:ind w:left="2592" w:hanging="936"/>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9999999999998"/>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abstractNum w:abstractNumId="3">
    <w:lvl w:ilvl="0">
      <w:start w:val="1"/>
      <w:numFmt w:val="lowerLetter"/>
      <w:lvlText w:val="%1)"/>
      <w:lvlJc w:val="left"/>
      <w:pPr>
        <w:ind w:left="2346" w:hanging="360"/>
      </w:pPr>
      <w:rPr>
        <w:vertAlign w:val="baseline"/>
      </w:rPr>
    </w:lvl>
    <w:lvl w:ilvl="1">
      <w:start w:val="1"/>
      <w:numFmt w:val="lowerLetter"/>
      <w:lvlText w:val="%2."/>
      <w:lvlJc w:val="left"/>
      <w:pPr>
        <w:ind w:left="3066" w:hanging="360"/>
      </w:pPr>
      <w:rPr>
        <w:vertAlign w:val="baseline"/>
      </w:rPr>
    </w:lvl>
    <w:lvl w:ilvl="2">
      <w:start w:val="1"/>
      <w:numFmt w:val="lowerRoman"/>
      <w:lvlText w:val="%3."/>
      <w:lvlJc w:val="right"/>
      <w:pPr>
        <w:ind w:left="3786" w:hanging="180"/>
      </w:pPr>
      <w:rPr>
        <w:vertAlign w:val="baseline"/>
      </w:rPr>
    </w:lvl>
    <w:lvl w:ilvl="3">
      <w:start w:val="1"/>
      <w:numFmt w:val="decimal"/>
      <w:lvlText w:val="%4."/>
      <w:lvlJc w:val="left"/>
      <w:pPr>
        <w:ind w:left="4506" w:hanging="360"/>
      </w:pPr>
      <w:rPr>
        <w:vertAlign w:val="baseline"/>
      </w:rPr>
    </w:lvl>
    <w:lvl w:ilvl="4">
      <w:start w:val="1"/>
      <w:numFmt w:val="lowerLetter"/>
      <w:lvlText w:val="%5."/>
      <w:lvlJc w:val="left"/>
      <w:pPr>
        <w:ind w:left="5226" w:hanging="360"/>
      </w:pPr>
      <w:rPr>
        <w:vertAlign w:val="baseline"/>
      </w:rPr>
    </w:lvl>
    <w:lvl w:ilvl="5">
      <w:start w:val="1"/>
      <w:numFmt w:val="lowerRoman"/>
      <w:lvlText w:val="%6."/>
      <w:lvlJc w:val="right"/>
      <w:pPr>
        <w:ind w:left="5946" w:hanging="180"/>
      </w:pPr>
      <w:rPr>
        <w:vertAlign w:val="baseline"/>
      </w:rPr>
    </w:lvl>
    <w:lvl w:ilvl="6">
      <w:start w:val="1"/>
      <w:numFmt w:val="decimal"/>
      <w:lvlText w:val="%7."/>
      <w:lvlJc w:val="left"/>
      <w:pPr>
        <w:ind w:left="6666" w:hanging="360"/>
      </w:pPr>
      <w:rPr>
        <w:vertAlign w:val="baseline"/>
      </w:rPr>
    </w:lvl>
    <w:lvl w:ilvl="7">
      <w:start w:val="1"/>
      <w:numFmt w:val="lowerLetter"/>
      <w:lvlText w:val="%8."/>
      <w:lvlJc w:val="left"/>
      <w:pPr>
        <w:ind w:left="7386" w:hanging="360"/>
      </w:pPr>
      <w:rPr>
        <w:vertAlign w:val="baseline"/>
      </w:rPr>
    </w:lvl>
    <w:lvl w:ilvl="8">
      <w:start w:val="1"/>
      <w:numFmt w:val="lowerRoman"/>
      <w:lvlText w:val="%9."/>
      <w:lvlJc w:val="right"/>
      <w:pPr>
        <w:ind w:left="8106" w:hanging="180"/>
      </w:pPr>
      <w:rPr>
        <w:vertAlign w:val="baseline"/>
      </w:rPr>
    </w:lvl>
  </w:abstractNum>
  <w:abstractNum w:abstractNumId="4">
    <w:lvl w:ilvl="0">
      <w:start w:val="1"/>
      <w:numFmt w:val="decimal"/>
      <w:lvlText w:val=""/>
      <w:lvlJc w:val="left"/>
      <w:pPr>
        <w:ind w:left="360" w:firstLine="0"/>
      </w:pPr>
      <w:rPr>
        <w:smallCaps w:val="0"/>
        <w:vertAlign w:val="baseline"/>
      </w:rPr>
    </w:lvl>
    <w:lvl w:ilvl="1">
      <w:start w:val="1"/>
      <w:numFmt w:val="decimal"/>
      <w:lvlText w:val="%1.%2"/>
      <w:lvlJc w:val="left"/>
      <w:pPr>
        <w:ind w:left="360" w:firstLine="0"/>
      </w:pPr>
      <w:rPr>
        <w:smallCaps w:val="0"/>
        <w:vertAlign w:val="baseline"/>
      </w:rPr>
    </w:lvl>
    <w:lvl w:ilvl="2">
      <w:start w:val="1"/>
      <w:numFmt w:val="lowerLetter"/>
      <w:lvlText w:val="(%3)"/>
      <w:lvlJc w:val="left"/>
      <w:pPr>
        <w:ind w:left="360" w:hanging="720"/>
      </w:pPr>
      <w:rPr>
        <w:smallCaps w:val="0"/>
        <w:vertAlign w:val="baseline"/>
      </w:rPr>
    </w:lvl>
    <w:lvl w:ilvl="3">
      <w:start w:val="1"/>
      <w:numFmt w:val="lowerRoman"/>
      <w:lvlText w:val="(%4)"/>
      <w:lvlJc w:val="left"/>
      <w:pPr>
        <w:ind w:left="2520" w:hanging="1080"/>
      </w:pPr>
      <w:rPr>
        <w:smallCaps w:val="0"/>
        <w:vertAlign w:val="baseline"/>
      </w:rPr>
    </w:lvl>
    <w:lvl w:ilvl="4">
      <w:start w:val="1"/>
      <w:numFmt w:val="upperLetter"/>
      <w:lvlText w:val="(%5)"/>
      <w:lvlJc w:val="left"/>
      <w:pPr>
        <w:ind w:left="3240" w:hanging="720"/>
      </w:pPr>
      <w:rPr>
        <w:smallCaps w:val="0"/>
        <w:vertAlign w:val="baseline"/>
      </w:rPr>
    </w:lvl>
    <w:lvl w:ilvl="5">
      <w:start w:val="1"/>
      <w:numFmt w:val="decimal"/>
      <w:lvlText w:val=""/>
      <w:lvlJc w:val="left"/>
      <w:pPr>
        <w:ind w:left="2520" w:hanging="1080"/>
      </w:pPr>
      <w:rPr>
        <w:smallCaps w:val="0"/>
        <w:vertAlign w:val="baseline"/>
      </w:rPr>
    </w:lvl>
    <w:lvl w:ilvl="6">
      <w:start w:val="1"/>
      <w:numFmt w:val="decimal"/>
      <w:lvlText w:val=""/>
      <w:lvlJc w:val="left"/>
      <w:pPr>
        <w:ind w:left="2520" w:hanging="1080"/>
      </w:pPr>
      <w:rPr>
        <w:smallCaps w:val="0"/>
        <w:vertAlign w:val="baseline"/>
      </w:rPr>
    </w:lvl>
    <w:lvl w:ilvl="7">
      <w:start w:val="1"/>
      <w:numFmt w:val="decimal"/>
      <w:lvlText w:val=""/>
      <w:lvlJc w:val="left"/>
      <w:pPr>
        <w:ind w:left="2520" w:hanging="1080"/>
      </w:pPr>
      <w:rPr>
        <w:smallCaps w:val="0"/>
        <w:vertAlign w:val="baseline"/>
      </w:rPr>
    </w:lvl>
    <w:lvl w:ilvl="8">
      <w:start w:val="1"/>
      <w:numFmt w:val="decimal"/>
      <w:lvlText w:val=""/>
      <w:lvlJc w:val="left"/>
      <w:pPr>
        <w:ind w:left="2520" w:hanging="1080"/>
      </w:pPr>
      <w:rPr>
        <w:smallCaps w:val="0"/>
        <w:vertAlign w:val="baseline"/>
      </w:rPr>
    </w:lvl>
  </w:abstractNum>
  <w:abstractNum w:abstractNumId="5">
    <w:lvl w:ilvl="0">
      <w:start w:val="1"/>
      <w:numFmt w:val="decimal"/>
      <w:lvlText w:val="%1"/>
      <w:lvlJc w:val="left"/>
      <w:pPr>
        <w:ind w:left="170" w:hanging="170"/>
      </w:pPr>
      <w:rPr>
        <w:rFonts w:ascii="Arial" w:cs="Arial" w:eastAsia="Arial" w:hAnsi="Arial"/>
        <w:sz w:val="22"/>
        <w:szCs w:val="22"/>
        <w:vertAlign w:val="baseline"/>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vertAlign w:val="baseline"/>
      </w:rPr>
    </w:lvl>
    <w:lvl w:ilvl="3">
      <w:start w:val="1"/>
      <w:numFmt w:val="decimal"/>
      <w:lvlText w:val="(%4)"/>
      <w:lvlJc w:val="left"/>
      <w:pPr>
        <w:ind w:left="1440" w:hanging="360"/>
      </w:pPr>
      <w:rPr>
        <w:vertAlign w:val="baseline"/>
      </w:rPr>
    </w:lvl>
    <w:lvl w:ilvl="4">
      <w:start w:val="1"/>
      <w:numFmt w:val="lowerLetter"/>
      <w:lvlText w:val="(%5)"/>
      <w:lvlJc w:val="left"/>
      <w:pPr>
        <w:ind w:left="1800" w:hanging="360"/>
      </w:pPr>
      <w:rPr>
        <w:vertAlign w:val="baseline"/>
      </w:rPr>
    </w:lvl>
    <w:lvl w:ilvl="5">
      <w:start w:val="1"/>
      <w:numFmt w:val="lowerRoman"/>
      <w:lvlText w:val="(%6)"/>
      <w:lvlJc w:val="left"/>
      <w:pPr>
        <w:ind w:left="2160" w:hanging="360"/>
      </w:pPr>
      <w:rPr>
        <w:vertAlign w:val="baseline"/>
      </w:rPr>
    </w:lvl>
    <w:lvl w:ilvl="6">
      <w:start w:val="1"/>
      <w:numFmt w:val="decimal"/>
      <w:lvlText w:val="%7."/>
      <w:lvlJc w:val="left"/>
      <w:pPr>
        <w:ind w:left="2520" w:hanging="360"/>
      </w:pPr>
      <w:rPr>
        <w:vertAlign w:val="baseline"/>
      </w:rPr>
    </w:lvl>
    <w:lvl w:ilvl="7">
      <w:start w:val="1"/>
      <w:numFmt w:val="lowerLetter"/>
      <w:lvlText w:val="%8."/>
      <w:lvlJc w:val="left"/>
      <w:pPr>
        <w:ind w:left="2880" w:hanging="360"/>
      </w:pPr>
      <w:rPr>
        <w:vertAlign w:val="baseline"/>
      </w:rPr>
    </w:lvl>
    <w:lvl w:ilvl="8">
      <w:start w:val="1"/>
      <w:numFmt w:val="lowerRoman"/>
      <w:lvlText w:val="%9."/>
      <w:lvlJc w:val="left"/>
      <w:pPr>
        <w:ind w:left="3240" w:hanging="36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GPSL1Schedulenumbered">
    <w:name w:val="GPS L1 Schedule numbered"/>
    <w:basedOn w:val="Normal"/>
    <w:next w:val="GPSL1Schedulenumbered"/>
    <w:autoRedefine w:val="0"/>
    <w:hidden w:val="0"/>
    <w:qFormat w:val="0"/>
    <w:pPr>
      <w:numPr>
        <w:ilvl w:val="0"/>
        <w:numId w:val="86"/>
      </w:numPr>
      <w:tabs>
        <w:tab w:val="left" w:leader="none" w:pos="851"/>
      </w:tabs>
      <w:suppressAutoHyphens w:val="1"/>
      <w:overflowPunct w:val="0"/>
      <w:autoSpaceDE w:val="0"/>
      <w:autoSpaceDN w:val="0"/>
      <w:adjustRightInd w:val="0"/>
      <w:spacing w:after="240" w:line="240" w:lineRule="auto"/>
      <w:ind w:leftChars="-1" w:rightChars="0" w:firstLineChars="-1"/>
      <w:jc w:val="both"/>
      <w:textDirection w:val="btLr"/>
      <w:textAlignment w:val="baseline"/>
      <w:outlineLvl w:val="0"/>
    </w:pPr>
    <w:rPr>
      <w:rFonts w:ascii="Calibri" w:cs="Arial" w:hAnsi="Calibri"/>
      <w:w w:val="100"/>
      <w:position w:val="-1"/>
      <w:sz w:val="22"/>
      <w:szCs w:val="22"/>
      <w:effect w:val="none"/>
      <w:vertAlign w:val="baseline"/>
      <w:cs w:val="0"/>
      <w:em w:val="none"/>
      <w:lang w:bidi="ar-SA" w:eastAsia="en-US" w:val="en-GB"/>
    </w:rPr>
  </w:style>
  <w:style w:type="character" w:styleId="GPSL1SchedulenumberedChar1">
    <w:name w:val="GPS L1 Schedule numbered Char1"/>
    <w:next w:val="GPSL1SchedulenumberedChar1"/>
    <w:autoRedefine w:val="0"/>
    <w:hidden w:val="0"/>
    <w:qFormat w:val="0"/>
    <w:rPr>
      <w:rFonts w:ascii="Calibri" w:cs="Arial" w:hAnsi="Calibri"/>
      <w:w w:val="100"/>
      <w:position w:val="-1"/>
      <w:sz w:val="22"/>
      <w:szCs w:val="22"/>
      <w:effect w:val="none"/>
      <w:vertAlign w:val="baseline"/>
      <w:cs w:val="0"/>
      <w:em w:val="none"/>
      <w:lang w:eastAsia="en-US"/>
    </w:rPr>
  </w:style>
  <w:style w:type="character" w:styleId="GPSL4numberedclauseChar">
    <w:name w:val="GPS L4 numbered clause Char"/>
    <w:next w:val="GPSL4numberedclause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2NumberedBoldHeadingChar">
    <w:name w:val="GPS L2 Numbered Bold Heading Char"/>
    <w:next w:val="GPSL2NumberedBoldHeadingChar"/>
    <w:autoRedefine w:val="0"/>
    <w:hidden w:val="0"/>
    <w:qFormat w:val="0"/>
    <w:rPr>
      <w:rFonts w:ascii="Calibri" w:cs="Arial" w:hAnsi="Calibri"/>
      <w:b w:val="1"/>
      <w:w w:val="100"/>
      <w:position w:val="-1"/>
      <w:sz w:val="22"/>
      <w:szCs w:val="22"/>
      <w:effect w:val="none"/>
      <w:vertAlign w:val="baseline"/>
      <w:cs w:val="0"/>
      <w:em w:val="none"/>
      <w:lang w:eastAsia="zh-CN"/>
    </w:rPr>
  </w:style>
  <w:style w:type="paragraph" w:styleId="GPSL2numberedclause">
    <w:name w:val="GPS L2 numbered clause"/>
    <w:basedOn w:val="Normal"/>
    <w:next w:val="GPSL2numberedclause"/>
    <w:autoRedefine w:val="0"/>
    <w:hidden w:val="0"/>
    <w:qFormat w:val="0"/>
    <w:pPr>
      <w:tabs>
        <w:tab w:val="left" w:leader="none" w:pos="1134"/>
      </w:tabs>
      <w:suppressAutoHyphens w:val="1"/>
      <w:overflowPunct w:val="1"/>
      <w:autoSpaceDE w:val="1"/>
      <w:autoSpaceDN w:val="1"/>
      <w:adjustRightInd w:val="0"/>
      <w:spacing w:after="120" w:before="120" w:line="240" w:lineRule="auto"/>
      <w:ind w:left="1134" w:leftChars="-1" w:rightChars="0" w:hanging="567"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Body3">
    <w:name w:val="Body3"/>
    <w:basedOn w:val="Normal"/>
    <w:next w:val="Body3"/>
    <w:autoRedefine w:val="0"/>
    <w:hidden w:val="0"/>
    <w:qFormat w:val="0"/>
    <w:pPr>
      <w:suppressAutoHyphens w:val="1"/>
      <w:overflowPunct w:val="1"/>
      <w:autoSpaceDE w:val="1"/>
      <w:autoSpaceDN w:val="1"/>
      <w:adjustRightInd w:val="1"/>
      <w:spacing w:after="220" w:line="240" w:lineRule="auto"/>
      <w:ind w:left="1412" w:leftChars="-1" w:rightChars="0" w:firstLineChars="-1"/>
      <w:jc w:val="both"/>
      <w:textDirection w:val="btLr"/>
      <w:textAlignment w:val="auto"/>
      <w:outlineLvl w:val="0"/>
    </w:pPr>
    <w:rPr>
      <w:rFonts w:ascii="Trebuchet MS" w:hAnsi="Trebuchet MS"/>
      <w:w w:val="100"/>
      <w:position w:val="-1"/>
      <w:sz w:val="20"/>
      <w:effect w:val="none"/>
      <w:vertAlign w:val="baseline"/>
      <w:cs w:val="0"/>
      <w:em w:val="none"/>
      <w:lang w:bidi="ar-SA" w:eastAsia="en-US" w:val="en-GB"/>
    </w:rPr>
  </w:style>
  <w:style w:type="character" w:styleId="GPSDefinitionL2Char">
    <w:name w:val="GPS Definition L2 Char"/>
    <w:next w:val="GPSDefinitionL2Char"/>
    <w:autoRedefine w:val="0"/>
    <w:hidden w:val="0"/>
    <w:qFormat w:val="0"/>
    <w:rPr>
      <w:rFonts w:ascii="Arial" w:cs="Arial" w:hAnsi="Arial"/>
      <w:w w:val="100"/>
      <w:position w:val="-1"/>
      <w:sz w:val="22"/>
      <w:szCs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XHKSqCdqieTriEIy2+7GEKgEpA==">AMUW2mXzeExacfWeAI/16OgbBMWNHzEwz6MxBGBaemy9/UZv5aMGPaDZn/0AsR7nATz03t7uKA2n/Q4VnogBY+1eGTOjpYaROHMGPbgu6OqCSYQcnWRSWJaUiRagKdaHi4LbcF9Qp0TvkvQNeKIt1sV8TEGdYsXYpGyqWcfhYORpN6cwy1cYIbXMpqph6sEyR1L7Sj71dbY19opTnEv8hfH3L2quaCwfFC4ax6QsXCFgPEuXsoCTxv8XmZKxgIQy3BHVckr/E/7zxB/xMuTuyop1L98fw+DiG6pSlw/2vdYVra7HCxNa9cm908kF2mTMbwo3kCXVmI+vb3+wUbs2yF7HwtQZY9hUcCv6AF6qJksA452MrSccGEa5Ha+2kNcmFS2FyGfXyUYO7MyuNWY0J2AU+69/mYqLZuvFlsGfQkJgiDcIEBOM6PcgqQtfTMYXOhX41qEktBH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2019-04-10T23:24:00Z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